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66" w:rsidRDefault="005C6166" w:rsidP="001A259C">
      <w:r>
        <w:t>ASTM A710 Steel Plates</w:t>
      </w:r>
    </w:p>
    <w:p w:rsidR="005C6166" w:rsidRDefault="005C6166" w:rsidP="001A259C"/>
    <w:p w:rsidR="005C6166" w:rsidRDefault="005C6166" w:rsidP="001A259C">
      <w:r>
        <w:t>1. Low-carbon A710 steel plate is an age hardening, alloy steel used where weight reduction, ease of fabrication and reduced welding costs are important. A710 is used in the manufacturing of jack-up rigs, construction equipment, pressure vessels, truck frames, piping components and shipbuilding.</w:t>
      </w:r>
    </w:p>
    <w:p w:rsidR="005C6166" w:rsidRDefault="005C6166" w:rsidP="001A259C"/>
    <w:tbl>
      <w:tblPr>
        <w:tblW w:w="8481" w:type="dxa"/>
        <w:tblLook w:val="00A0"/>
      </w:tblPr>
      <w:tblGrid>
        <w:gridCol w:w="3646"/>
        <w:gridCol w:w="1582"/>
        <w:gridCol w:w="1626"/>
        <w:gridCol w:w="1627"/>
      </w:tblGrid>
      <w:tr w:rsidR="005C6166" w:rsidRPr="00480877" w:rsidTr="001A259C">
        <w:trPr>
          <w:trHeight w:val="588"/>
        </w:trPr>
        <w:tc>
          <w:tcPr>
            <w:tcW w:w="8481" w:type="dxa"/>
            <w:gridSpan w:val="4"/>
            <w:tcBorders>
              <w:top w:val="single" w:sz="4" w:space="0" w:color="auto"/>
              <w:left w:val="single" w:sz="4" w:space="0" w:color="auto"/>
              <w:bottom w:val="single" w:sz="4" w:space="0" w:color="auto"/>
              <w:right w:val="single" w:sz="4" w:space="0" w:color="auto"/>
            </w:tcBorders>
            <w:noWrap/>
            <w:vAlign w:val="center"/>
          </w:tcPr>
          <w:p w:rsidR="005C6166" w:rsidRPr="00480877" w:rsidRDefault="005C6166" w:rsidP="001A259C">
            <w:pPr>
              <w:jc w:val="center"/>
            </w:pPr>
            <w:r w:rsidRPr="00480877">
              <w:t>Quenched &amp; Tempered Alloy Steel Plate</w:t>
            </w:r>
          </w:p>
        </w:tc>
      </w:tr>
      <w:tr w:rsidR="005C6166" w:rsidRPr="00480877" w:rsidTr="001A259C">
        <w:trPr>
          <w:trHeight w:val="252"/>
        </w:trPr>
        <w:tc>
          <w:tcPr>
            <w:tcW w:w="3646" w:type="dxa"/>
            <w:tcBorders>
              <w:top w:val="nil"/>
              <w:left w:val="single" w:sz="4" w:space="0" w:color="auto"/>
              <w:bottom w:val="single" w:sz="4" w:space="0" w:color="auto"/>
              <w:right w:val="single" w:sz="4" w:space="0" w:color="auto"/>
            </w:tcBorders>
            <w:noWrap/>
            <w:vAlign w:val="center"/>
          </w:tcPr>
          <w:p w:rsidR="005C6166" w:rsidRPr="00480877" w:rsidRDefault="005C6166" w:rsidP="001A259C">
            <w:pPr>
              <w:jc w:val="center"/>
            </w:pPr>
            <w:r w:rsidRPr="00480877">
              <w:t>all measurement in Inches</w:t>
            </w:r>
          </w:p>
        </w:tc>
        <w:tc>
          <w:tcPr>
            <w:tcW w:w="1582"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Thickness</w:t>
            </w:r>
          </w:p>
        </w:tc>
        <w:tc>
          <w:tcPr>
            <w:tcW w:w="1626"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Width</w:t>
            </w:r>
          </w:p>
        </w:tc>
        <w:tc>
          <w:tcPr>
            <w:tcW w:w="1627"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Length</w:t>
            </w:r>
          </w:p>
        </w:tc>
      </w:tr>
      <w:tr w:rsidR="005C6166" w:rsidRPr="00480877" w:rsidTr="001A259C">
        <w:trPr>
          <w:trHeight w:val="252"/>
        </w:trPr>
        <w:tc>
          <w:tcPr>
            <w:tcW w:w="3646" w:type="dxa"/>
            <w:tcBorders>
              <w:top w:val="nil"/>
              <w:left w:val="single" w:sz="4" w:space="0" w:color="auto"/>
              <w:bottom w:val="single" w:sz="4" w:space="0" w:color="auto"/>
              <w:right w:val="single" w:sz="4" w:space="0" w:color="auto"/>
            </w:tcBorders>
            <w:noWrap/>
            <w:vAlign w:val="center"/>
          </w:tcPr>
          <w:p w:rsidR="005C6166" w:rsidRPr="00480877" w:rsidRDefault="005C6166" w:rsidP="001A259C">
            <w:pPr>
              <w:jc w:val="center"/>
            </w:pPr>
            <w:r w:rsidRPr="00480877">
              <w:t>A710</w:t>
            </w:r>
          </w:p>
        </w:tc>
        <w:tc>
          <w:tcPr>
            <w:tcW w:w="1582"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1/4" – 2"</w:t>
            </w:r>
          </w:p>
        </w:tc>
        <w:tc>
          <w:tcPr>
            <w:tcW w:w="1626"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48" – 120"</w:t>
            </w:r>
          </w:p>
        </w:tc>
        <w:tc>
          <w:tcPr>
            <w:tcW w:w="1627" w:type="dxa"/>
            <w:tcBorders>
              <w:top w:val="nil"/>
              <w:left w:val="nil"/>
              <w:bottom w:val="single" w:sz="4" w:space="0" w:color="auto"/>
              <w:right w:val="single" w:sz="4" w:space="0" w:color="auto"/>
            </w:tcBorders>
            <w:noWrap/>
            <w:vAlign w:val="center"/>
          </w:tcPr>
          <w:p w:rsidR="005C6166" w:rsidRPr="00480877" w:rsidRDefault="005C6166" w:rsidP="001A259C">
            <w:pPr>
              <w:jc w:val="center"/>
            </w:pPr>
            <w:r w:rsidRPr="00480877">
              <w:t>96" – 480"</w:t>
            </w:r>
          </w:p>
        </w:tc>
      </w:tr>
    </w:tbl>
    <w:p w:rsidR="005C6166" w:rsidRDefault="005C6166" w:rsidP="001A259C"/>
    <w:p w:rsidR="005C6166" w:rsidRDefault="005C6166" w:rsidP="001A259C">
      <w:r>
        <w:t xml:space="preserve">2. </w:t>
      </w:r>
      <w:r w:rsidRPr="001A259C">
        <w:t>If you have any other requirement for steel plate, please feel free to contact us.</w:t>
      </w:r>
    </w:p>
    <w:sectPr w:rsidR="005C6166" w:rsidSect="007D38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66" w:rsidRDefault="005C6166" w:rsidP="001A259C">
      <w:r>
        <w:separator/>
      </w:r>
    </w:p>
  </w:endnote>
  <w:endnote w:type="continuationSeparator" w:id="0">
    <w:p w:rsidR="005C6166" w:rsidRDefault="005C6166" w:rsidP="001A2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66" w:rsidRDefault="005C6166" w:rsidP="001A259C">
      <w:r>
        <w:separator/>
      </w:r>
    </w:p>
  </w:footnote>
  <w:footnote w:type="continuationSeparator" w:id="0">
    <w:p w:rsidR="005C6166" w:rsidRDefault="005C6166" w:rsidP="001A2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59C"/>
    <w:rsid w:val="001A259C"/>
    <w:rsid w:val="00414BC1"/>
    <w:rsid w:val="00480877"/>
    <w:rsid w:val="005C6166"/>
    <w:rsid w:val="007D38B0"/>
    <w:rsid w:val="00944C63"/>
    <w:rsid w:val="00E243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25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259C"/>
    <w:rPr>
      <w:rFonts w:cs="Times New Roman"/>
      <w:sz w:val="18"/>
      <w:szCs w:val="18"/>
    </w:rPr>
  </w:style>
  <w:style w:type="paragraph" w:styleId="Footer">
    <w:name w:val="footer"/>
    <w:basedOn w:val="Normal"/>
    <w:link w:val="FooterChar"/>
    <w:uiPriority w:val="99"/>
    <w:semiHidden/>
    <w:rsid w:val="001A25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259C"/>
    <w:rPr>
      <w:rFonts w:cs="Times New Roman"/>
      <w:sz w:val="18"/>
      <w:szCs w:val="18"/>
    </w:rPr>
  </w:style>
  <w:style w:type="paragraph" w:styleId="ListParagraph">
    <w:name w:val="List Paragraph"/>
    <w:basedOn w:val="Normal"/>
    <w:uiPriority w:val="99"/>
    <w:qFormat/>
    <w:rsid w:val="001A259C"/>
    <w:pPr>
      <w:ind w:firstLineChars="200" w:firstLine="420"/>
    </w:pPr>
  </w:style>
</w:styles>
</file>

<file path=word/webSettings.xml><?xml version="1.0" encoding="utf-8"?>
<w:webSettings xmlns:r="http://schemas.openxmlformats.org/officeDocument/2006/relationships" xmlns:w="http://schemas.openxmlformats.org/wordprocessingml/2006/main">
  <w:divs>
    <w:div w:id="339233955">
      <w:marLeft w:val="0"/>
      <w:marRight w:val="0"/>
      <w:marTop w:val="0"/>
      <w:marBottom w:val="0"/>
      <w:divBdr>
        <w:top w:val="none" w:sz="0" w:space="0" w:color="auto"/>
        <w:left w:val="none" w:sz="0" w:space="0" w:color="auto"/>
        <w:bottom w:val="none" w:sz="0" w:space="0" w:color="auto"/>
        <w:right w:val="none" w:sz="0" w:space="0" w:color="auto"/>
      </w:divBdr>
    </w:div>
    <w:div w:id="339233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2015-11-26T05:59:00Z</dcterms:created>
  <dcterms:modified xsi:type="dcterms:W3CDTF">2015-12-02T05:24:00Z</dcterms:modified>
</cp:coreProperties>
</file>