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58" w:rsidRDefault="00EC0E58" w:rsidP="00B31994">
      <w:r>
        <w:t>ASTM A537 CL1 CL2 CL3 Steel Plate Supplier</w:t>
      </w:r>
    </w:p>
    <w:p w:rsidR="00EC0E58" w:rsidRDefault="00EC0E58" w:rsidP="00B31994"/>
    <w:p w:rsidR="00EC0E58" w:rsidRDefault="00EC0E58" w:rsidP="00B31994">
      <w:r>
        <w:t>1. A537 plate steel is heat-treated. As a result, it displays greater yield and tensile strength than the more standard A516 grades. A537 steel plate is ideal for both in boilers and pressure vessels, and is used in the oil, gas and petrochemical industry.</w:t>
      </w:r>
    </w:p>
    <w:tbl>
      <w:tblPr>
        <w:tblpPr w:leftFromText="180" w:rightFromText="180" w:vertAnchor="text" w:horzAnchor="margin" w:tblpY="392"/>
        <w:tblW w:w="8555" w:type="dxa"/>
        <w:tblLook w:val="00A0"/>
      </w:tblPr>
      <w:tblGrid>
        <w:gridCol w:w="3722"/>
        <w:gridCol w:w="1513"/>
        <w:gridCol w:w="1660"/>
        <w:gridCol w:w="1660"/>
      </w:tblGrid>
      <w:tr w:rsidR="00EC0E58" w:rsidRPr="00F354CC" w:rsidTr="00B31994">
        <w:trPr>
          <w:trHeight w:val="565"/>
        </w:trPr>
        <w:tc>
          <w:tcPr>
            <w:tcW w:w="8555" w:type="dxa"/>
            <w:gridSpan w:val="4"/>
            <w:tcBorders>
              <w:top w:val="single" w:sz="4" w:space="0" w:color="auto"/>
              <w:left w:val="single" w:sz="4" w:space="0" w:color="auto"/>
              <w:bottom w:val="single" w:sz="4" w:space="0" w:color="auto"/>
              <w:right w:val="single" w:sz="4" w:space="0" w:color="000000"/>
            </w:tcBorders>
            <w:noWrap/>
            <w:vAlign w:val="center"/>
          </w:tcPr>
          <w:p w:rsidR="00EC0E58" w:rsidRPr="00F354CC" w:rsidRDefault="00EC0E58" w:rsidP="00B31994">
            <w:pPr>
              <w:jc w:val="center"/>
            </w:pPr>
            <w:r w:rsidRPr="00F354CC">
              <w:t>PVQ Pressure Vessel Steel Plate</w:t>
            </w:r>
          </w:p>
        </w:tc>
      </w:tr>
      <w:tr w:rsidR="00EC0E58" w:rsidRPr="00F354CC" w:rsidTr="00B31994">
        <w:trPr>
          <w:trHeight w:val="431"/>
        </w:trPr>
        <w:tc>
          <w:tcPr>
            <w:tcW w:w="3722" w:type="dxa"/>
            <w:tcBorders>
              <w:top w:val="nil"/>
              <w:left w:val="single" w:sz="4" w:space="0" w:color="auto"/>
              <w:bottom w:val="single" w:sz="4" w:space="0" w:color="auto"/>
              <w:right w:val="single" w:sz="4" w:space="0" w:color="auto"/>
            </w:tcBorders>
            <w:noWrap/>
            <w:vAlign w:val="center"/>
          </w:tcPr>
          <w:p w:rsidR="00EC0E58" w:rsidRPr="00F354CC" w:rsidRDefault="00EC0E58" w:rsidP="00B31994">
            <w:pPr>
              <w:jc w:val="center"/>
            </w:pPr>
            <w:r w:rsidRPr="00F354CC">
              <w:t>all measurement in Inches</w:t>
            </w:r>
          </w:p>
        </w:tc>
        <w:tc>
          <w:tcPr>
            <w:tcW w:w="1513" w:type="dxa"/>
            <w:tcBorders>
              <w:top w:val="nil"/>
              <w:left w:val="nil"/>
              <w:bottom w:val="single" w:sz="4" w:space="0" w:color="auto"/>
              <w:right w:val="single" w:sz="4" w:space="0" w:color="auto"/>
            </w:tcBorders>
            <w:noWrap/>
            <w:vAlign w:val="center"/>
          </w:tcPr>
          <w:p w:rsidR="00EC0E58" w:rsidRPr="00F354CC" w:rsidRDefault="00EC0E58" w:rsidP="00B31994">
            <w:pPr>
              <w:jc w:val="center"/>
            </w:pPr>
            <w:r w:rsidRPr="00F354CC">
              <w:t>Thickness</w:t>
            </w:r>
          </w:p>
        </w:tc>
        <w:tc>
          <w:tcPr>
            <w:tcW w:w="1660" w:type="dxa"/>
            <w:tcBorders>
              <w:top w:val="nil"/>
              <w:left w:val="nil"/>
              <w:bottom w:val="single" w:sz="4" w:space="0" w:color="auto"/>
              <w:right w:val="single" w:sz="4" w:space="0" w:color="auto"/>
            </w:tcBorders>
            <w:noWrap/>
            <w:vAlign w:val="center"/>
          </w:tcPr>
          <w:p w:rsidR="00EC0E58" w:rsidRPr="00F354CC" w:rsidRDefault="00EC0E58" w:rsidP="00B31994">
            <w:pPr>
              <w:jc w:val="center"/>
            </w:pPr>
            <w:r w:rsidRPr="00F354CC">
              <w:t>Width</w:t>
            </w:r>
          </w:p>
        </w:tc>
        <w:tc>
          <w:tcPr>
            <w:tcW w:w="1660" w:type="dxa"/>
            <w:tcBorders>
              <w:top w:val="nil"/>
              <w:left w:val="nil"/>
              <w:bottom w:val="single" w:sz="4" w:space="0" w:color="auto"/>
              <w:right w:val="single" w:sz="4" w:space="0" w:color="auto"/>
            </w:tcBorders>
            <w:noWrap/>
            <w:vAlign w:val="center"/>
          </w:tcPr>
          <w:p w:rsidR="00EC0E58" w:rsidRPr="00F354CC" w:rsidRDefault="00EC0E58" w:rsidP="00B31994">
            <w:pPr>
              <w:jc w:val="center"/>
            </w:pPr>
            <w:r w:rsidRPr="00F354CC">
              <w:t>Length</w:t>
            </w:r>
          </w:p>
        </w:tc>
      </w:tr>
      <w:tr w:rsidR="00EC0E58" w:rsidRPr="00F354CC" w:rsidTr="00B31994">
        <w:trPr>
          <w:trHeight w:val="242"/>
        </w:trPr>
        <w:tc>
          <w:tcPr>
            <w:tcW w:w="3722" w:type="dxa"/>
            <w:tcBorders>
              <w:top w:val="nil"/>
              <w:left w:val="single" w:sz="4" w:space="0" w:color="auto"/>
              <w:bottom w:val="single" w:sz="4" w:space="0" w:color="auto"/>
              <w:right w:val="single" w:sz="4" w:space="0" w:color="auto"/>
            </w:tcBorders>
            <w:noWrap/>
            <w:vAlign w:val="center"/>
          </w:tcPr>
          <w:p w:rsidR="00EC0E58" w:rsidRPr="00F354CC" w:rsidRDefault="00EC0E58" w:rsidP="00B31994">
            <w:pPr>
              <w:jc w:val="center"/>
            </w:pPr>
            <w:r w:rsidRPr="00F354CC">
              <w:t>A537</w:t>
            </w:r>
          </w:p>
        </w:tc>
        <w:tc>
          <w:tcPr>
            <w:tcW w:w="1513" w:type="dxa"/>
            <w:tcBorders>
              <w:top w:val="nil"/>
              <w:left w:val="nil"/>
              <w:bottom w:val="single" w:sz="4" w:space="0" w:color="auto"/>
              <w:right w:val="single" w:sz="4" w:space="0" w:color="auto"/>
            </w:tcBorders>
            <w:noWrap/>
            <w:vAlign w:val="center"/>
          </w:tcPr>
          <w:p w:rsidR="00EC0E58" w:rsidRPr="00F354CC" w:rsidRDefault="00EC0E58" w:rsidP="00B31994">
            <w:pPr>
              <w:jc w:val="center"/>
            </w:pPr>
            <w:r w:rsidRPr="00F354CC">
              <w:t>1/2" – 4"</w:t>
            </w:r>
          </w:p>
        </w:tc>
        <w:tc>
          <w:tcPr>
            <w:tcW w:w="1660" w:type="dxa"/>
            <w:tcBorders>
              <w:top w:val="nil"/>
              <w:left w:val="nil"/>
              <w:bottom w:val="single" w:sz="4" w:space="0" w:color="auto"/>
              <w:right w:val="single" w:sz="4" w:space="0" w:color="auto"/>
            </w:tcBorders>
            <w:noWrap/>
            <w:vAlign w:val="center"/>
          </w:tcPr>
          <w:p w:rsidR="00EC0E58" w:rsidRPr="00F354CC" w:rsidRDefault="00EC0E58" w:rsidP="00B31994">
            <w:pPr>
              <w:jc w:val="center"/>
            </w:pPr>
            <w:r w:rsidRPr="00F354CC">
              <w:t>48" – 120"</w:t>
            </w:r>
          </w:p>
        </w:tc>
        <w:tc>
          <w:tcPr>
            <w:tcW w:w="1660" w:type="dxa"/>
            <w:tcBorders>
              <w:top w:val="nil"/>
              <w:left w:val="nil"/>
              <w:bottom w:val="single" w:sz="4" w:space="0" w:color="auto"/>
              <w:right w:val="single" w:sz="4" w:space="0" w:color="auto"/>
            </w:tcBorders>
            <w:noWrap/>
            <w:vAlign w:val="center"/>
          </w:tcPr>
          <w:p w:rsidR="00EC0E58" w:rsidRPr="00F354CC" w:rsidRDefault="00EC0E58" w:rsidP="00B31994">
            <w:pPr>
              <w:jc w:val="center"/>
            </w:pPr>
            <w:r w:rsidRPr="00F354CC">
              <w:t>96" – 480"</w:t>
            </w:r>
          </w:p>
        </w:tc>
      </w:tr>
    </w:tbl>
    <w:p w:rsidR="00EC0E58" w:rsidRDefault="00EC0E58" w:rsidP="00B31994"/>
    <w:p w:rsidR="00EC0E58" w:rsidRDefault="00EC0E58" w:rsidP="00B31994"/>
    <w:p w:rsidR="00EC0E58" w:rsidRDefault="00EC0E58" w:rsidP="00B31994">
      <w:r>
        <w:t>2</w:t>
      </w:r>
      <w:r w:rsidRPr="00D1201A">
        <w:t>. If you have any other requirement for steel plate, please feel free to contact us.</w:t>
      </w:r>
    </w:p>
    <w:sectPr w:rsidR="00EC0E58" w:rsidSect="00A50E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58" w:rsidRDefault="00EC0E58" w:rsidP="00B31994">
      <w:r>
        <w:separator/>
      </w:r>
    </w:p>
  </w:endnote>
  <w:endnote w:type="continuationSeparator" w:id="0">
    <w:p w:rsidR="00EC0E58" w:rsidRDefault="00EC0E58" w:rsidP="00B31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58" w:rsidRDefault="00EC0E58" w:rsidP="00B31994">
      <w:r>
        <w:separator/>
      </w:r>
    </w:p>
  </w:footnote>
  <w:footnote w:type="continuationSeparator" w:id="0">
    <w:p w:rsidR="00EC0E58" w:rsidRDefault="00EC0E58" w:rsidP="00B31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994"/>
    <w:rsid w:val="000B7BCF"/>
    <w:rsid w:val="00115616"/>
    <w:rsid w:val="00321477"/>
    <w:rsid w:val="003D7C19"/>
    <w:rsid w:val="003F18B9"/>
    <w:rsid w:val="00505BFA"/>
    <w:rsid w:val="006C2C75"/>
    <w:rsid w:val="00784CDE"/>
    <w:rsid w:val="009B45AF"/>
    <w:rsid w:val="00A21127"/>
    <w:rsid w:val="00A50EB6"/>
    <w:rsid w:val="00B31994"/>
    <w:rsid w:val="00D1201A"/>
    <w:rsid w:val="00EC0E58"/>
    <w:rsid w:val="00F35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19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1994"/>
    <w:rPr>
      <w:rFonts w:cs="Times New Roman"/>
      <w:sz w:val="18"/>
      <w:szCs w:val="18"/>
    </w:rPr>
  </w:style>
  <w:style w:type="paragraph" w:styleId="Footer">
    <w:name w:val="footer"/>
    <w:basedOn w:val="Normal"/>
    <w:link w:val="FooterChar"/>
    <w:uiPriority w:val="99"/>
    <w:semiHidden/>
    <w:rsid w:val="00B319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199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5231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76</Words>
  <Characters>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7</cp:revision>
  <dcterms:created xsi:type="dcterms:W3CDTF">2015-11-26T07:59:00Z</dcterms:created>
  <dcterms:modified xsi:type="dcterms:W3CDTF">2015-12-02T05:29:00Z</dcterms:modified>
</cp:coreProperties>
</file>